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B3" w:rsidRDefault="009C72C3">
      <w:pPr>
        <w:jc w:val="center"/>
        <w:rPr>
          <w:rFonts w:ascii="Times New Roman" w:eastAsia="Calibri" w:hAnsi="Times New Roman" w:cs="Times New Roman"/>
          <w:sz w:val="22"/>
        </w:rPr>
      </w:pPr>
      <w:r w:rsidRPr="009C72C3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6661150" cy="190737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9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tabs>
          <w:tab w:val="left" w:pos="2385"/>
          <w:tab w:val="center" w:pos="4677"/>
        </w:tabs>
        <w:jc w:val="center"/>
        <w:rPr>
          <w:rFonts w:ascii="Times New Roman" w:eastAsia="Times New Roman" w:hAnsi="Times New Roman" w:cs="Times New Roman"/>
          <w:sz w:val="32"/>
        </w:rPr>
      </w:pPr>
    </w:p>
    <w:p w:rsidR="00981DB3" w:rsidRDefault="00981DB3">
      <w:pPr>
        <w:tabs>
          <w:tab w:val="left" w:pos="2385"/>
          <w:tab w:val="center" w:pos="4677"/>
        </w:tabs>
        <w:jc w:val="center"/>
        <w:rPr>
          <w:rFonts w:ascii="Times New Roman" w:eastAsia="Times New Roman" w:hAnsi="Times New Roman" w:cs="Times New Roman"/>
          <w:sz w:val="32"/>
        </w:rPr>
      </w:pPr>
    </w:p>
    <w:p w:rsidR="00981DB3" w:rsidRDefault="00E3764A">
      <w:pPr>
        <w:tabs>
          <w:tab w:val="left" w:pos="2385"/>
          <w:tab w:val="center" w:pos="4677"/>
        </w:tabs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РАБОЧАЯ ПРОГРАММА</w:t>
      </w: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английский язык</w:t>
      </w: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среднее </w:t>
      </w: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тавители: Сергеева Т. Н.</w:t>
      </w:r>
    </w:p>
    <w:p w:rsidR="00981DB3" w:rsidRDefault="00E3764A">
      <w:pPr>
        <w:ind w:firstLineChars="600" w:firstLine="16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О. В.</w:t>
      </w:r>
    </w:p>
    <w:p w:rsidR="00981DB3" w:rsidRDefault="00981DB3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981DB3" w:rsidRDefault="00981DB3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981DB3" w:rsidRDefault="00981DB3">
      <w:pPr>
        <w:jc w:val="left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left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rPr>
          <w:rFonts w:ascii="Times New Roman" w:eastAsia="Calibri" w:hAnsi="Times New Roman" w:cs="Times New Roman"/>
          <w:sz w:val="22"/>
        </w:rPr>
      </w:pPr>
    </w:p>
    <w:p w:rsidR="00981DB3" w:rsidRPr="00E3764A" w:rsidRDefault="00E376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376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W w:w="9638" w:type="dxa"/>
        <w:tblInd w:w="-32" w:type="dxa"/>
        <w:tblLayout w:type="fixed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bookmarkEnd w:id="0"/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Предметная область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981DB3" w:rsidRPr="00494B75" w:rsidRDefault="00E3764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Calibri" w:hAnsi="Times New Roman" w:cs="Times New Roman"/>
                <w:sz w:val="28"/>
                <w:szCs w:val="28"/>
              </w:rPr>
              <w:t>(английский)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программы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в неделю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</w:t>
            </w:r>
          </w:p>
          <w:p w:rsidR="00981DB3" w:rsidRPr="00494B75" w:rsidRDefault="00E3764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. - 3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-102</w:t>
            </w:r>
          </w:p>
          <w:p w:rsidR="00981DB3" w:rsidRPr="00494B75" w:rsidRDefault="00E3764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-102</w:t>
            </w:r>
          </w:p>
        </w:tc>
      </w:tr>
      <w:tr w:rsidR="00981DB3">
        <w:trPr>
          <w:trHeight w:val="1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СОО</w:t>
            </w:r>
          </w:p>
        </w:tc>
      </w:tr>
      <w:tr w:rsidR="00981DB3">
        <w:trPr>
          <w:trHeight w:val="108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составлена на основе программы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6225EC" w:rsidRDefault="00E3764A" w:rsidP="00622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язык. 10—11 классы (базовый уровень): рабочая программа / О. В. Афанасьева, И. В. Михеева, Н. В.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Языкова, Е. А. Колесникова. —2-е изд.,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. — М. : Дрофа, 2017</w:t>
            </w:r>
          </w:p>
        </w:tc>
      </w:tr>
      <w:tr w:rsidR="00981DB3">
        <w:trPr>
          <w:trHeight w:val="228"/>
        </w:trPr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10 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RainbowEnglish</w:t>
            </w:r>
            <w:proofErr w:type="spellEnd"/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”.  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2-е издание, стереотип. – М.: Дрофа 201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94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981DB3" w:rsidRDefault="00E3764A">
      <w:pPr>
        <w:spacing w:before="120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 xml:space="preserve">               </w:t>
      </w:r>
    </w:p>
    <w:p w:rsidR="00981DB3" w:rsidRDefault="00981DB3">
      <w:pPr>
        <w:spacing w:before="120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spacing w:before="120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spacing w:before="120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spacing w:before="120"/>
        <w:rPr>
          <w:rFonts w:ascii="Times New Roman" w:eastAsia="Calibri" w:hAnsi="Times New Roman" w:cs="Times New Roman"/>
          <w:sz w:val="22"/>
        </w:rPr>
      </w:pPr>
    </w:p>
    <w:p w:rsidR="00981DB3" w:rsidRDefault="00981DB3">
      <w:pPr>
        <w:spacing w:before="120"/>
        <w:rPr>
          <w:rFonts w:ascii="Times New Roman" w:eastAsia="Calibri" w:hAnsi="Times New Roman" w:cs="Times New Roman"/>
          <w:sz w:val="22"/>
        </w:rPr>
      </w:pPr>
    </w:p>
    <w:p w:rsidR="00981DB3" w:rsidRDefault="00DE1415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Планируемые результаты освоения предмета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 результаты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также понимание того, какие возможности может дать им иностранный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для общего развития, дальнейшего образования и овладения избранной профессией, для самореализации в целом. Помимо этого, ко времени окончания школы изучение иностранного языка должно позитивно повлиять на общую и речевую культуру учащихся, привить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в немалой степени способствует развитию целого ряда важных личн</w:t>
      </w:r>
      <w:r>
        <w:rPr>
          <w:rFonts w:ascii="Times New Roman" w:eastAsia="Times New Roman" w:hAnsi="Times New Roman" w:cs="Times New Roman"/>
          <w:sz w:val="28"/>
          <w:szCs w:val="28"/>
        </w:rPr>
        <w:t>остных качеств. 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проявлению инициативы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Содержательная сторона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обсуждение со старшек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  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п. Подобные обсуждения способствуют развитию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школьников лучших человеческих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толерантности, готовности рассматривать то или иное явление с разных точек зрения.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другой стороны, дискуссии вырабатывают способность отстаивать свою точку зрения и свою гражданскую позицию. В диалоге к</w:t>
      </w:r>
      <w:r>
        <w:rPr>
          <w:rFonts w:ascii="Times New Roman" w:eastAsia="Times New Roman" w:hAnsi="Times New Roman" w:cs="Times New Roman"/>
          <w:sz w:val="28"/>
          <w:szCs w:val="28"/>
        </w:rPr>
        <w:t>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результаты</w:t>
      </w:r>
      <w:proofErr w:type="gramEnd"/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«Иностранный язык» вносит немалый вклад в достижение требуемых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</w:t>
      </w:r>
      <w:r>
        <w:rPr>
          <w:rFonts w:ascii="Times New Roman" w:eastAsia="Times New Roman" w:hAnsi="Times New Roman" w:cs="Times New Roman"/>
          <w:sz w:val="28"/>
          <w:szCs w:val="28"/>
        </w:rPr>
        <w:t>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</w:t>
      </w:r>
    </w:p>
    <w:p w:rsidR="00981DB3" w:rsidRDefault="00E3764A">
      <w:pPr>
        <w:tabs>
          <w:tab w:val="left" w:pos="9372"/>
          <w:tab w:val="left" w:pos="9940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</w:t>
      </w:r>
      <w:r>
        <w:rPr>
          <w:rFonts w:ascii="Times New Roman" w:eastAsia="Times New Roman" w:hAnsi="Times New Roman" w:cs="Times New Roman"/>
          <w:sz w:val="28"/>
          <w:szCs w:val="28"/>
        </w:rPr>
        <w:t>я итоги работы по каждому из разделов учебника для 10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школьники учатся отвечать на такие важные вопросы, как: с какими трудностями они столкнулись и чем были вызваны эти трудности, какие лексические и грамматические явления языка требуют дальне</w:t>
      </w:r>
      <w:r>
        <w:rPr>
          <w:rFonts w:ascii="Times New Roman" w:eastAsia="Times New Roman" w:hAnsi="Times New Roman" w:cs="Times New Roman"/>
          <w:sz w:val="28"/>
          <w:szCs w:val="28"/>
        </w:rPr>
        <w:t>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>ни привлекли для выполнения своей работы и насколько удачным был выбор источников и, наконец, самое главное — насколько довольны они своими результатами и почему.</w:t>
      </w:r>
    </w:p>
    <w:p w:rsidR="00981DB3" w:rsidRDefault="00981DB3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Предметные результаты</w:t>
      </w:r>
    </w:p>
    <w:p w:rsidR="00981DB3" w:rsidRDefault="00E3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«Иностранный язык» (английский</w:t>
      </w:r>
      <w:r>
        <w:rPr>
          <w:rFonts w:ascii="Times New Roman" w:hAnsi="Times New Roman" w:cs="Times New Roman"/>
          <w:b/>
          <w:sz w:val="28"/>
          <w:szCs w:val="28"/>
        </w:rPr>
        <w:t>) на уровне среднего общего образования:</w:t>
      </w:r>
    </w:p>
    <w:p w:rsidR="00981DB3" w:rsidRDefault="00E3764A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b/>
          <w:sz w:val="28"/>
          <w:szCs w:val="28"/>
        </w:rPr>
        <w:t>научит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(коммуникативные умения)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речевой деятельности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Аудирование</w:t>
      </w:r>
      <w:proofErr w:type="spellEnd"/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старшем этапе обучения происходит дальнейшее развитие умения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тексты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понимать содержание различных аутентичных аудио- и видеотекстов: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—выборочное понимание значимой/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интересующей информации из аутентичных аудио- и видеоматериалов;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—относительно полное понимание речи носителей изучаемого языка в наиболее типичных ситуациях повседневного общения.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—предвосхищать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—выбирать главные факты, опускать второстепенные, вычленять аргументы в соответствии с поставленным вопросом/проблемой;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—обобщать содержащуюся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тексте информацию, выражать свое отношение к ней;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—выборочно понимать необходимую информацию в сообщениях прагматического характера (объявления, прогноз погоды и т. д.) с опорой на языковую догадку, контекст;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—игнорировать незнакомый языковой материал, </w:t>
      </w:r>
      <w:r>
        <w:rPr>
          <w:rFonts w:ascii="Times New Roman" w:eastAsia="Times New Roman" w:hAnsi="Times New Roman" w:cs="Times New Roman"/>
          <w:sz w:val="28"/>
          <w:szCs w:val="28"/>
        </w:rPr>
        <w:t>несущественный для понимания.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онимать основное содержание несложных аутентичных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выборочное понимание запрашив</w:t>
      </w:r>
      <w:r>
        <w:rPr>
          <w:rFonts w:ascii="Times New Roman" w:hAnsi="Times New Roman" w:cs="Times New Roman"/>
          <w:sz w:val="28"/>
          <w:szCs w:val="28"/>
        </w:rPr>
        <w:t xml:space="preserve">аемой информации из несложных аутентичных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81DB3" w:rsidRDefault="00E3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ученик получит возможность:</w:t>
      </w:r>
    </w:p>
    <w:p w:rsidR="00981DB3" w:rsidRDefault="00E3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–полно и точно в</w:t>
      </w:r>
      <w:r>
        <w:rPr>
          <w:rFonts w:ascii="Times New Roman" w:hAnsi="Times New Roman" w:cs="Times New Roman"/>
          <w:sz w:val="28"/>
          <w:szCs w:val="28"/>
        </w:rPr>
        <w:t>оспринимать информацию в распространенных коммуникативных ситуациях;</w:t>
      </w:r>
    </w:p>
    <w:p w:rsidR="00981DB3" w:rsidRDefault="00E3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–обобщать прослушанную информацию и выявлять факты в соответствии с поставленной задачей/вопросом.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Говорение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Диалогическая форма речи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Ведение всех видов диалогов и их комбинировани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полилогах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том числе в форме дискуссии, с соблюдением норм речевого этикета, принятых в ст</w:t>
      </w:r>
      <w:r>
        <w:rPr>
          <w:rFonts w:ascii="Times New Roman" w:eastAsia="Times New Roman" w:hAnsi="Times New Roman" w:cs="Times New Roman"/>
          <w:sz w:val="28"/>
          <w:szCs w:val="28"/>
        </w:rPr>
        <w:t>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</w:t>
      </w:r>
      <w:r>
        <w:rPr>
          <w:rFonts w:ascii="Times New Roman" w:eastAsia="Times New Roman" w:hAnsi="Times New Roman" w:cs="Times New Roman"/>
          <w:sz w:val="28"/>
          <w:szCs w:val="28"/>
        </w:rPr>
        <w:t>, вносить пояснения и дополнения, выражать эмоции различного характера.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</w:t>
      </w:r>
      <w:r>
        <w:rPr>
          <w:rFonts w:ascii="Times New Roman" w:eastAsia="Times New Roman" w:hAnsi="Times New Roman" w:cs="Times New Roman"/>
          <w:sz w:val="28"/>
          <w:szCs w:val="28"/>
        </w:rPr>
        <w:t>кций общения, совершенствуют культуру речи и ведения беседы в соответствии с нормами страны/стран изучаемого языка.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ученик  получит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научиться: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–вести диалог/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ситуациях официального общения в рамках изученной тематики; </w:t>
      </w:r>
      <w:r>
        <w:rPr>
          <w:rFonts w:ascii="Times New Roman" w:eastAsia="Times New Roman" w:hAnsi="Times New Roman" w:cs="Times New Roman"/>
          <w:sz w:val="28"/>
          <w:szCs w:val="28"/>
        </w:rPr>
        <w:t>кратко комментировать точку зрения другого человека;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–проводить подготовленное интервью, проверяя и получая подтверждение какой-либо информации;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–обмениваться информацией, проверять и подтверждать собранную фактическую информацию.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диалог/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</w:t>
      </w:r>
      <w:r>
        <w:rPr>
          <w:rFonts w:ascii="Times New Roman" w:hAnsi="Times New Roman" w:cs="Times New Roman"/>
          <w:sz w:val="28"/>
          <w:szCs w:val="28"/>
        </w:rPr>
        <w:t>туациях неофициального общения в рамках изученной тематики;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и аргументировать личну</w:t>
      </w:r>
      <w:r>
        <w:rPr>
          <w:rFonts w:ascii="Times New Roman" w:hAnsi="Times New Roman" w:cs="Times New Roman"/>
          <w:sz w:val="28"/>
          <w:szCs w:val="28"/>
        </w:rPr>
        <w:t>ю точку зрения;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разъяснениями, уточняя интересующую информацию.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Монологическая форма речи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</w:t>
      </w:r>
      <w:r>
        <w:rPr>
          <w:rFonts w:ascii="Times New Roman" w:eastAsia="Times New Roman" w:hAnsi="Times New Roman" w:cs="Times New Roman"/>
          <w:sz w:val="28"/>
          <w:szCs w:val="28"/>
        </w:rPr>
        <w:t>фактов/событий современной жизни, сопоставление социокультурного портрета своей страны и стран изучаемого языка, комментирование сходств и различий. Овладение умениями публичных выступлений, такими как сообщение, доклад, представление результатов проектно-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ориентированной на будущую профессиональную деятельность.</w:t>
      </w:r>
    </w:p>
    <w:p w:rsidR="00981DB3" w:rsidRDefault="00E3764A">
      <w:pPr>
        <w:tabs>
          <w:tab w:val="left" w:pos="9372"/>
          <w:tab w:val="left" w:pos="9940"/>
        </w:tabs>
        <w:ind w:firstLineChars="150"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ученик получит возможность научиться:</w:t>
      </w:r>
    </w:p>
    <w:p w:rsidR="00981DB3" w:rsidRDefault="00E3764A">
      <w:pPr>
        <w:tabs>
          <w:tab w:val="left" w:pos="9372"/>
          <w:tab w:val="left" w:pos="9940"/>
        </w:tabs>
        <w:ind w:firstLineChars="150"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–резюмировать прослушанный/прочитанный текст;</w:t>
      </w:r>
    </w:p>
    <w:p w:rsidR="00981DB3" w:rsidRDefault="00E3764A">
      <w:pPr>
        <w:tabs>
          <w:tab w:val="left" w:pos="9372"/>
          <w:tab w:val="left" w:pos="9940"/>
        </w:tabs>
        <w:ind w:firstLineChars="150"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–обобщать информацию на основе прочитанного/прослушанного текста;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</w:t>
      </w:r>
      <w:r>
        <w:rPr>
          <w:rFonts w:ascii="Times New Roman" w:hAnsi="Times New Roman" w:cs="Times New Roman"/>
          <w:sz w:val="28"/>
          <w:szCs w:val="28"/>
        </w:rPr>
        <w:t>ного/</w:t>
      </w:r>
      <w:r>
        <w:rPr>
          <w:rFonts w:ascii="Times New Roman" w:hAnsi="Times New Roman" w:cs="Times New Roman"/>
          <w:sz w:val="28"/>
          <w:szCs w:val="28"/>
        </w:rPr>
        <w:br/>
        <w:t>увиденного/услышанного;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краткие описания и/или комментарии с опорой на нелинейный текст (таблицы, графики);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Чтение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и понимание (с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  будущей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деятельностью, с использованием разл</w:t>
      </w:r>
      <w:r>
        <w:rPr>
          <w:rFonts w:ascii="Times New Roman" w:eastAsia="Times New Roman" w:hAnsi="Times New Roman" w:cs="Times New Roman"/>
          <w:sz w:val="28"/>
          <w:szCs w:val="28"/>
        </w:rPr>
        <w:t>ичных стратегий/видов чтения: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ознакомительное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>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изучающее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чтение</w:t>
      </w:r>
      <w:r>
        <w:rPr>
          <w:rFonts w:ascii="Times New Roman" w:eastAsia="Times New Roman" w:hAnsi="Times New Roman" w:cs="Times New Roman"/>
          <w:sz w:val="28"/>
          <w:szCs w:val="28"/>
        </w:rPr>
        <w:t> 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просмотровое/поисковое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>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извлечения необходимой/искомой информации из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или нескольких статей из газет, журналов, интернет-сайтов,  для дальнейшего использования в процессе общения или для подготовки доклада, сообщения, проектного задания.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данном этапе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ученик  получит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научиться: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и понимать несложн</w:t>
      </w:r>
      <w:r>
        <w:rPr>
          <w:rFonts w:ascii="Times New Roman" w:hAnsi="Times New Roman" w:cs="Times New Roman"/>
          <w:sz w:val="28"/>
          <w:szCs w:val="28"/>
        </w:rPr>
        <w:t>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отделять в несложных аутентичных текстах различных стилей и жанров главную информа</w:t>
      </w:r>
      <w:r>
        <w:rPr>
          <w:rFonts w:ascii="Times New Roman" w:hAnsi="Times New Roman" w:cs="Times New Roman"/>
          <w:sz w:val="28"/>
          <w:szCs w:val="28"/>
        </w:rPr>
        <w:t>цию от второстепенной, выявлять наиболее значимые факты.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Совершенствование и развитие сформированных на предыдущих этапах умений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—выделять необходимые факты/сведения, отделять основную информацию от второстепенной, определять временную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—определять замысел автора, оценивать важность/новизну/достоверность информации, понимать смысл 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 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проблематику, используя элементы анализа текста;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—отбирать значимую информацию в тексте/ряде текстов из различных источников, в том числе электронных,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реше-ния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 проектно-исследовательской деятельности, при подготовке доклада, сообщения.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Письменная речь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—писать личные и деловые письма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краткий отзыв на фильм, книгу или пьесу: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—сообщать сведения о себе в форме, принятой в стране изучаемого языка (автобиография/резюме, </w:t>
      </w:r>
      <w:r>
        <w:rPr>
          <w:rFonts w:ascii="Times New Roman" w:eastAsia="Times New Roman" w:hAnsi="Times New Roman" w:cs="Times New Roman"/>
          <w:sz w:val="28"/>
          <w:szCs w:val="28"/>
        </w:rPr>
        <w:t>анкета, формуляр);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—писать вымышленные истории, сообщения, доклады;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—письменно оформлять результаты проектно-исследовательской работы.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совершенствование и развитие умений: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—описывать события/факты/явления;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—сообщать/запрашивать информацию;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—вы</w:t>
      </w:r>
      <w:r>
        <w:rPr>
          <w:rFonts w:ascii="Times New Roman" w:eastAsia="Times New Roman" w:hAnsi="Times New Roman" w:cs="Times New Roman"/>
          <w:sz w:val="28"/>
          <w:szCs w:val="28"/>
        </w:rPr>
        <w:t>ражать собственное мнение/суждение в форме эссе;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—кратко передавать содержание несложного текста;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—фиксировать необходимую информацию из прочитанного/прослушанного/увиденного;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—составлять тезисы, развернутый план выступления;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—обобщать информацию,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ую из разных источников, в том числе будущей профессиональной деятельности.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ученик получит возможность научится: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исать несложные связные тексты по изученной тематике;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личное (электронное) письмо, заполнять анкету, письменно излагать</w:t>
      </w:r>
      <w:r>
        <w:rPr>
          <w:rFonts w:ascii="Times New Roman" w:hAnsi="Times New Roman" w:cs="Times New Roman"/>
          <w:sz w:val="28"/>
          <w:szCs w:val="28"/>
        </w:rPr>
        <w:t xml:space="preserve"> сведения о себе в форме, принятой в стране/странах изучаемого языка;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Перевод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Языковая компетенция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Языковые знания и навыки оперирования ими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Фонетическая сторона речи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ученик  по</w:t>
      </w:r>
      <w:r>
        <w:rPr>
          <w:rFonts w:ascii="Times New Roman" w:eastAsia="Times New Roman" w:hAnsi="Times New Roman" w:cs="Times New Roman"/>
          <w:sz w:val="28"/>
          <w:szCs w:val="28"/>
        </w:rPr>
        <w:t>лучит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научиться: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слухопроизносительными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ритмико-интонационного оформления речи в зависимости от коммуникативной ситуации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1DB3" w:rsidRDefault="00E37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произносить звуки англ</w:t>
      </w:r>
      <w:r>
        <w:rPr>
          <w:rFonts w:ascii="Times New Roman" w:hAnsi="Times New Roman" w:cs="Times New Roman"/>
          <w:sz w:val="28"/>
          <w:szCs w:val="28"/>
        </w:rPr>
        <w:t>ийского языка четко, естественным произношением, не допуская ярко выраженного акцента.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Лексическая сторона речи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.Новые словообразовательные средства: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звукоподражание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(bark, howl, hiss, neigh, roar, quack);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(doc, exam, prof, BBC, TV, BFF);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перенос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ударения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import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import, export  — to export, present — to present);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словосложение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моделям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Adjective+Participle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 (blue-eyed, old-fashioned)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Noun+Participle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 (hard-written, weather-beaten)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Adverb+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 (well-paid, poorly-dressed)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Adjective+Participle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(easy-going, smart-looking)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Noun+Participle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(progress-making, heart-breaking)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Adverb+Participle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(well-meaning, fast-developing)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-  </w:t>
      </w:r>
      <w:r>
        <w:rPr>
          <w:rFonts w:ascii="Times New Roman" w:eastAsia="Times New Roman" w:hAnsi="Times New Roman" w:cs="Times New Roman"/>
          <w:sz w:val="28"/>
          <w:szCs w:val="28"/>
        </w:rPr>
        <w:t>деривация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суффикса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-ern (northern, western, etc.);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словосложение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(five-year-old, twelve-inch, fifty-dollar,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twen?ty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-minute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five-kilo, first-rate, third-floor, second-hand).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Фразовые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beat down; to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beat off; to beat out; to beat up; to sing in; to sign out; to sign off; to sign on; to sign up; to cut down; to cut off; to cut out; to cut up; to set down; to set off/out; to set aside; to set about.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Синонимы. Различия в их семантике и употреблении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ll — sick; handsome — pretty — beautiful; trip — journey —travel — voyage; recently — lately.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Сложные для употребления лексические единицы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группа прилагательных, имеющих исключительно предикативное использование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asleep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  устойчивые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словосочетания с ними;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comfortable/convenient, </w:t>
      </w: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attend/visit,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accident/incident, landscape/scenery/view,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служебные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различия в семантике и употреблении лексики в американском и британском вариа</w:t>
      </w:r>
      <w:r>
        <w:rPr>
          <w:rFonts w:ascii="Times New Roman" w:eastAsia="Times New Roman" w:hAnsi="Times New Roman" w:cs="Times New Roman"/>
          <w:sz w:val="28"/>
          <w:szCs w:val="28"/>
        </w:rPr>
        <w:t>нтах английского языка: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— испытывать тошноту (брит.)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 sick — </w:t>
      </w:r>
      <w:r>
        <w:rPr>
          <w:rFonts w:ascii="Times New Roman" w:eastAsia="Times New Roman" w:hAnsi="Times New Roman" w:cs="Times New Roman"/>
          <w:sz w:val="28"/>
          <w:szCs w:val="28"/>
        </w:rPr>
        <w:t>болеть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.)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политкорректные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invalid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person with disability; an old man/woman — a man/woman advanced in years; old people — senior citizens;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pensioners — retired people; a Negro — an Afro-American; an Indian — a Native American; an actress — an actor; a fireman — a firefighter, etc.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Лексика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управляемая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предлогами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divide into some parts, 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request, etc.,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логом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at: at the chemist’s; at the florist’s; at the butcher’s; at the baker’s; at the greengrocer’s; at the grocer’s; at the stationer’s.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 Речевые клише. </w:t>
      </w:r>
      <w:r>
        <w:rPr>
          <w:rFonts w:ascii="Times New Roman" w:eastAsia="Times New Roman" w:hAnsi="Times New Roman" w:cs="Times New Roman"/>
          <w:sz w:val="28"/>
          <w:szCs w:val="28"/>
        </w:rPr>
        <w:t>Фразы, используемые в определенных ситуациях общения: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It’s not my cup of tea;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knackered;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up to my eyes;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a bit hard up;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 bet!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Touch wood;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full;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must be off;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don’t get it;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haven’t got the foggiest idea.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 Английская идиоматика: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устойчивые словосочетания, содержащие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существительное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have the world at your feet; to see the world; to be worlds apart; to think that the world is your oyster; to do somebody a world of good; to mean the world to somebody; to set the world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 fire;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устойчивые словосочетания, содержащие прилагательное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ill news; ill fortune; ill luck; ill effects; ill feelings; ill results;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устойчивые словосочетания, говорящие о финансовом состоянии человека: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 a multi-millionaire; to be a busi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ness tycoon; to be made of money; to be a very wealthy person; to be quite well-off; to be comfortable well-off; to be a bit hard up; to be on the breadline; to be running into debt; to be up to one’s ears in debt;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as+Adj+as+Noun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(as brave as a lion, as old as hills, as green as grass, etc.).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Словосочетания с глаголами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make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do a city (a museum, a gallery); to do a flat (room); to do morning exercises, to do the cooking (shopping,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clean?ing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etc.); to do one’s hair (teeth); to do homework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house?work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); to do a subject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English); to do one’s best; to do well; to do a translation (project); to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good (harm, wrong); to make a mistake; to make dinner (tea, lunch); to make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deci?sion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to make a noise; to make progress; to make a bed; to make a fire; to make a choice; to make a fortune (money); to make an effort; to make friends (enemies); to make a law; to make a list (notes).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класс</w:t>
      </w:r>
      <w:proofErr w:type="spellEnd"/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Полисемия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leftChars="133" w:left="279" w:firstLineChars="292" w:firstLine="81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значения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лексической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метафоры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to arrive at a conclusion; to answer coldly; to dance into the room; the conveyor belt of life;</w:t>
      </w:r>
    </w:p>
    <w:p w:rsidR="00981DB3" w:rsidRPr="00494B75" w:rsidRDefault="00E3764A">
      <w:pPr>
        <w:tabs>
          <w:tab w:val="left" w:pos="9372"/>
          <w:tab w:val="left" w:pos="9940"/>
        </w:tabs>
        <w:ind w:firstLineChars="392" w:firstLine="1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различные значения наречия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badly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Абстрактные и стилистически окрашенные слова: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research; tuition; application; identify;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value; image;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recogni?tion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denial; miracle; faith; amazement; adjustment; intention;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arrangement; confession; intention; concern; reduction;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confir?mation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insistence.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Фразовые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глаголы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call for, to call in, to call out, to call up, to speak for, to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speak out, to speak up, to speak to; to pick; to pick out; to pick up.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4. 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Синонимы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дифференциация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job — profession — occupation — career;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rent — to hire — to employ;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sink — to drown;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scientist — scholar;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понятие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синонимической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доминанты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mak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 = manufacture, cook, build, generate, cause, design;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pay — payment — wage(s) — salary — fee — fare(s);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get 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gain 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win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Лексика, управляемая предлогами: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apply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research on the topic;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tuition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come with practice;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result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struggle with/against/for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deal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to be comprehensible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suspect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convince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have faith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have trust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remind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of/about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search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spite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refer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reflect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shape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 of some/no value;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recognize 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scores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 captivated 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be comprehensible to sb.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confess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be enclosed 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quotes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adjustment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get rid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 draw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attention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gain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a bargain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insist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Сложные для употребления лексические единицы: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either/any; neither/none, nobody, no one; whether/if;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существительные, заимствованные из греческого и латинского языков, и спос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обы образования их множественного числа: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phenomenon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curriculum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сложные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существительные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множественного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числа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father-in-law; sister-in-law; daughter-in-law;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mother-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in?law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son-in-law; passer-by; lily-of-the-valley; forget-me-not; merry-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go-round;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существительные, имеющие две формы множественного числа: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fish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trout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salmon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наречий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сходные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форме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отличающиеся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смыслу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hard — hardly; late — lately; high — highly; near — nearly; most — mostly; wide — widely;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различия в семантике и использовании глаголов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offer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suggest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, синтаксические структуры, в которых используется глагол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suggest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Речевые клише и речевые обороты: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связки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выстраивающие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логику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текста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so; as; because; that’s why; however; anyhow; nevert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heless; although; on the contrary; actually; in fact; eventually; as a result; besides; in the end; on the one hand; on the other hand;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надписи на объявлениях, принятые в англоязычных странах: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out of order; no vacancies; sold out; to let; nothing to dec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lare; staff only; no smoking; no parking; no exit; no trespassing; keep right; keep your dog on the lead; keep Britain tidy; please do not disturb; please do not feed the animals; please do not remove the furniture; please keep off the grass; do not leave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bags unattended; do not lean out of the window; mind your head; mind your step; mind the doors; beware of pickpockets; beware of the dog;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вежливые способы прервать речь собеседника, чтобы возразить ему или высказать свое мнение: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yes, but…; well, I know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but…; if I could just come in here…; sorry to interrupt but…; look here…; there’s just one point I’d like to make…; although…; and another thing…; by the way…; that reminds me…; and…; maybe but…;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устойчивые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словосочетания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неличными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формами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глагола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to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 honest; to begin with; to tell you the truth; to cut a long story short; to put it another way; to get back to the point; so to speak; frankly speaking; generally speaking; roughly speaking; strictly speaking; supposing;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речевые обороты, передающие бо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льшую или меньшую степень уверенности в разговоре о будущем: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certainly (not) going to…;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going to…, that’s for sure…;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Nothing is going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stopme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doing it…;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 won’t catch me doing it…;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sure to…;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bound to…;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absolutely sure…;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think I’ll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expect I’ll…;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may well…;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hoping to…;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I’m thinking of…;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thought I might…;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wouldn’t be surprised if…;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There is a chance I will…;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doubt if I’ll…;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There is no chance of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… .</w:t>
      </w:r>
      <w:proofErr w:type="gramEnd"/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8. 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Словообразовательные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типичные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деривационные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модели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льзуемые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названий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actor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doctor  — operator; chemist  — dentist  — economist  — journalist  — physicist  — pharmacist — scientist; programmer — designer — engineer — firefighter — hairdresser — officer.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Собирательные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существ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ительные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crowd, team, crew, class, government; flock, pack, swarm, pride, herd, school, bunch.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Широкозначные</w:t>
      </w:r>
      <w:proofErr w:type="spellEnd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существительные и особенности их </w:t>
      </w:r>
      <w:proofErr w:type="spellStart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упо</w:t>
      </w:r>
      <w:proofErr w:type="spellEnd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требления</w:t>
      </w:r>
      <w:proofErr w:type="spellEnd"/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thing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stuff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Различия в американском и британском вариантах английского языка: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ы обозначения десятичных дробей с существительными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naught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zero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AmE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написание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3/6 — the third of June/June the third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sz w:val="28"/>
          <w:szCs w:val="28"/>
        </w:rPr>
        <w:t>3/6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March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sixth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AmE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Английская идиоматика: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идиомы, включающие существительные-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</w:rPr>
        <w:t>цветообозначе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blue with cold; brown bread; black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humour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 black look; as white as snow; as black as coal; as red as a beetroot; a red rag to the bull; to be green with envy; to have green fingers; to show a white fea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ther; once in a blue moon; out of the blue; to be yellow;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элементы фразеологического фонда английского языка: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there were no clouds, we shouldn’t enjoy the sun.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it were not for hope, the heart would break.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“ifs” and “ands” were pots and pans.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If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each swept before his own door, we should have a clean city.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wishes were horses, beggars would ride.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Так называемые «ложные друзья переводчика»: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accurately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complexion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extravagant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расточительный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magazine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журнал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intelligent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sympathy 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— сочувствие.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ученик получит возможность научиться: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наиболее </w:t>
      </w:r>
      <w:r>
        <w:rPr>
          <w:rFonts w:ascii="Times New Roman" w:hAnsi="Times New Roman" w:cs="Times New Roman"/>
          <w:sz w:val="28"/>
          <w:szCs w:val="28"/>
        </w:rPr>
        <w:t>распространенные фразовые глаголы;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принадлежность слов к частям речи по аффиксам;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81DB3" w:rsidRDefault="00E3764A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употреблять различные сред</w:t>
      </w:r>
      <w:r>
        <w:rPr>
          <w:rFonts w:ascii="Times New Roman" w:hAnsi="Times New Roman" w:cs="Times New Roman"/>
          <w:sz w:val="28"/>
          <w:szCs w:val="28"/>
        </w:rPr>
        <w:t>ства связи в тексте для обеспечения его целостности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правописание наречий, образованных с помощью суффикса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ly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easily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wryly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noisily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 наречий,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образованных от прилагательных, оканчивающихся на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simply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truly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wholly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правописание наречий, образованных от прилагательных с окончанием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ful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 или 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cheerfully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typically</w:t>
      </w:r>
      <w:r w:rsidRPr="0049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данном этапе ученик получит возможность научиться: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–владеть орфографиче</w:t>
      </w:r>
      <w:r>
        <w:rPr>
          <w:rFonts w:ascii="Times New Roman" w:eastAsia="Times New Roman" w:hAnsi="Times New Roman" w:cs="Times New Roman"/>
          <w:sz w:val="28"/>
          <w:szCs w:val="28"/>
        </w:rPr>
        <w:t>скими навыками в рамках тем, включенных в раздел «Предметное содержание речи»;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–расставлять в тексте знаки препинания в соответствии с нормами пунктуации: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–использовать фразовые глаголы по широкому спектру тем, уместно употребляя их в соответствии со стиле</w:t>
      </w:r>
      <w:r>
        <w:rPr>
          <w:rFonts w:ascii="Times New Roman" w:eastAsia="Times New Roman" w:hAnsi="Times New Roman" w:cs="Times New Roman"/>
          <w:sz w:val="28"/>
          <w:szCs w:val="28"/>
        </w:rPr>
        <w:t>м речи;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–узнавать и использовать в речи устойчивые выражения и фразы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DB3" w:rsidRPr="00494B75" w:rsidRDefault="00981DB3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Грамматическая сторона речи: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981DB3" w:rsidRDefault="00981DB3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 Имя существительное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определенный и нулевой артикли в сочетаниях с именами существительными, обозначающими: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регионы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провинции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(California, Siberia,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Crimea, the Far East, the Caucasus, the Antarctic, the Lake District);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полуострова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(Florida, Cornwall, Kamchatka);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вершины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(Elbrus, Everest);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(Ireland, Madagascar);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(Oxford University, Moscow University,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University of Oxford, the University of Moscow);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дворцы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(Westminster Palace, Winter Palace, Buckingham Palace);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вокзалы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аэропорты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(Waterloo Railway Station, Heathrow,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Vnukovo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Airport);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журналы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(Punch, Life, People’s Friend,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Mizz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Spectator);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гостиницы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Ritz Hotel, the Central Hotel,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Victorial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Hotel, Moscow Hotel);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корабли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лайнеры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Titanic, the Mayflower);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газеты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Times, the Un, the Observer);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English Chann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el, the Panama Canal);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водопады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Niagara Falls);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пустыни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 Sahara, the Gobi);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—группы островов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British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Isles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Philippines</w:t>
      </w:r>
      <w:r>
        <w:rPr>
          <w:rFonts w:ascii="Times New Roman" w:eastAsia="Times New Roman" w:hAnsi="Times New Roman" w:cs="Times New Roman"/>
          <w:sz w:val="28"/>
          <w:szCs w:val="28"/>
        </w:rPr>
        <w:t>); неопределенный, определенный и нулевой артикли с именами существительными в различных функциях: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—имя существительное в функции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предикатива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pupil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They are pupils);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обозначающего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однократные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(to have a swim, to have a look, to have a talk, to give a hint, to make a fuss);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—имя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сущес</w:t>
      </w:r>
      <w:r>
        <w:rPr>
          <w:rFonts w:ascii="Times New Roman" w:eastAsia="Times New Roman" w:hAnsi="Times New Roman" w:cs="Times New Roman"/>
          <w:sz w:val="28"/>
          <w:szCs w:val="28"/>
        </w:rPr>
        <w:t>твительное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восклицательного предложения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surprise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shame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определенный артикль (обобщение типичных случаев использования);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неопределенный артикль (обобщение случаев использования);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артиклей с </w:t>
      </w:r>
      <w:r>
        <w:rPr>
          <w:rFonts w:ascii="Times New Roman" w:eastAsia="Times New Roman" w:hAnsi="Times New Roman" w:cs="Times New Roman"/>
          <w:sz w:val="28"/>
          <w:szCs w:val="28"/>
        </w:rPr>
        <w:t>именами существительными, обозначающими еду и трапезы.</w:t>
      </w: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 Наречие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DB3" w:rsidRDefault="00E3764A">
      <w:pPr>
        <w:tabs>
          <w:tab w:val="left" w:pos="9372"/>
          <w:tab w:val="left" w:pos="9940"/>
        </w:tabs>
        <w:ind w:firstLineChars="250"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наречие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невозможность его сочетания с прилагательными, обозначающими высокую степень качества;</w:t>
      </w:r>
    </w:p>
    <w:p w:rsidR="00981DB3" w:rsidRDefault="00E3764A">
      <w:pPr>
        <w:tabs>
          <w:tab w:val="left" w:pos="9372"/>
          <w:tab w:val="left" w:pos="9940"/>
        </w:tabs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наречия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absolutely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сочетаниях с прилагательными, обозначающими выс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окую степень качества: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beautiful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truly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absolutely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terrific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Default="00981DB3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81DB3" w:rsidRDefault="00E3764A">
      <w:pPr>
        <w:tabs>
          <w:tab w:val="left" w:pos="9372"/>
          <w:tab w:val="left" w:pos="99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Глагол: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использование глаголов в грамматических временах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маркера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recently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I’d rather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you’d better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глаголов во времени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действия, происходящего не непосредственно в момент речи, но в период времени, достаточно близкий к этому моменту: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John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sitting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driving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глаголов во времени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эмоционально окрашенных предложениях при выражении негативной информации: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always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talking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lessons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be, to hear, to see, to love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present progress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ive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необычного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He is usually quiet but today he is being very noisy;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глаголов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forget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конструкции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законченного действия: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lives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leaving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tomorrow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глаголов во времени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обстановки, на фоне которой происходят события в рассказе или повествовании: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breeze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blowing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глаголов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времени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необычного, не присущего человеку поведения, действия в конкретный момент в прошлом: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happy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because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feeling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better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Joy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quiet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party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использование глаголов во времени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довольно длительного действия в прошлом, которое завершено к настоящему моменту, особенно с предлогами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bench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half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left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пассивные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инфинитивом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She is considered to be…; he is believed to live…; they are said to grow…;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пассивные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продолженным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перфектным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инфинитивом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he is said to have grown…; they are believed to be travelling…;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модальных глаголов для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 степени уверенности, что предполагаемое действие произойдет, использование от наивысшей степени уверенности до самой малой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must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could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may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might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использование модальных глаголов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отрицательной форме и их диффер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енциация: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shouldn’tdo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needn’t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 класс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Имя существительное: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множественного числа имен существительных греческого и латинского происхождения: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curriculum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curricula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phenomenon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phenomena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сложные имена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существительные, обозначающие родственников во множественном числе и притяжательном падеже: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father-in-law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father-in-law’s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притяжательный падеж имен существительных, обозначающих неодушевленные объекты и явления: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Africa’s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yesterday’s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выражения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посессивности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обозначения общей собственности двух людей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John’s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cottage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1DB3" w:rsidRPr="00494B75" w:rsidRDefault="00E3764A">
      <w:pPr>
        <w:tabs>
          <w:tab w:val="left" w:pos="9372"/>
          <w:tab w:val="left" w:pos="9940"/>
        </w:tabs>
        <w:ind w:firstLineChars="250" w:firstLine="7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неисчисляемых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разряд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исчисляемых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hair  —</w:t>
      </w:r>
      <w:proofErr w:type="gram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hair; land  — a land; youth  — a youth, salad — a 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salad; coffee — a coffee;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исчисляемых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разряд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неисчисляемых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: an apple — apple; a fish — fish; a potato — potato; a chicken — chicken;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собирательные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: flock; pack; swarm; pride; herd; school; bunch; bun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dle;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артиклей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именами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существительными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Webster; a Ford; a true Parker; a certain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Miller.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Местоимение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either, neither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конструкциях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either… or; neither… nor;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неопределенные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nobody, no one, none.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</w:t>
      </w:r>
      <w:r w:rsidRPr="00494B7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have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done;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герундиальные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frankly speaking, generally speaking, roughly speaking, strictly speaking, supposing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дискуссий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обороты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инфинитивом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honest, to begin wi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th, to tell you the truth, to cut a long story short, to put it another way, to get back to the point, so to speak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дискуссий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инфинитива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герундия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to regret to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/doing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to try to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/doing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to need to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/doing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to help to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— can’t help doing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глаголы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suggest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(специфика использования);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использования глаголов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переносном значении в конструкции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Object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make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sb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пассивном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залоге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  —</w:t>
      </w:r>
      <w:proofErr w:type="gram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made to do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использования глагола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пассивном залоге;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сослагательное наклонение глагола для выражения нереального будущего в ситуациях, относящихся к наст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оящему, будущему и прошлому: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)…,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…,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смешанный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глаголами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сослагательном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наклонении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: if I were…, I would have done…; if I had done…, I would be….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–использовать в речи модальные </w:t>
      </w:r>
      <w:r>
        <w:rPr>
          <w:rFonts w:ascii="Times New Roman" w:eastAsia="Times New Roman" w:hAnsi="Times New Roman" w:cs="Times New Roman"/>
          <w:sz w:val="28"/>
          <w:szCs w:val="28"/>
        </w:rPr>
        <w:t>глаголы для выражения возможности или вероятности в прошедшем времени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–употреблять в речи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как эквивалент страдательного залога;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–употреблять в речи эмфа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тические конструкции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It’s time you did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–употреблять в речи все формы страдательного залога;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Past Perfect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Past Perfect Continuous;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–употреблять в речи условные предложения нереального характера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3);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be/get + used to + verb;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–употреблять в речи структуру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обозначения регулярных действий в прошлом;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 Наречие:</w:t>
      </w:r>
    </w:p>
    <w:p w:rsidR="00981DB3" w:rsidRDefault="00E3764A">
      <w:pPr>
        <w:tabs>
          <w:tab w:val="left" w:pos="9372"/>
          <w:tab w:val="left" w:pos="9940"/>
        </w:tabs>
        <w:ind w:firstLineChars="250"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регулярное образование степеней сравнения односложных, двусложных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многосложных наречий: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fastest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comfortably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comfortably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well  —</w:t>
      </w:r>
      <w:proofErr w:type="gram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better  — best; badly — worse — worst; little — less — least; much — more — most; far — farther — farthest; far — further — furthest;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возможного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loud/loudly, right/rightly, wrong/wrongly, etc.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: to walk slowly/slow; to remember rightly/right;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наречий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wrongly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значении «справедливо/несправедливо»;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смысловые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наречий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hard/hardly, late/lately, high/highly, near/nearly, most/mostly, wide/widely;</w:t>
      </w:r>
    </w:p>
    <w:p w:rsidR="00981DB3" w:rsidRPr="00494B75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наречие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badly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полисемантическая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единица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to know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badly; to need </w:t>
      </w:r>
      <w:proofErr w:type="spellStart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sth</w:t>
      </w:r>
      <w:proofErr w:type="spellEnd"/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badly</w:t>
      </w:r>
      <w:r w:rsidRPr="00494B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–использовать широкий спектр союзов для выражения противопоставления и различия в </w:t>
      </w:r>
      <w:r>
        <w:rPr>
          <w:rFonts w:ascii="Times New Roman" w:eastAsia="Times New Roman" w:hAnsi="Times New Roman" w:cs="Times New Roman"/>
          <w:sz w:val="28"/>
          <w:szCs w:val="28"/>
        </w:rPr>
        <w:t>сложных предложениях.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 Содержание курса.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иностранного (английского) языка на базовом уровне среднего общего образования обеспечивает достижение следующих целей: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–дальнейшее развитие иноязычной коммуникативной компетенции;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–развитие способности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языковых навыков (грамматика,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обуч</w:t>
      </w:r>
      <w:r>
        <w:rPr>
          <w:rFonts w:ascii="Times New Roman" w:eastAsia="Times New Roman" w:hAnsi="Times New Roman" w:cs="Times New Roman"/>
          <w:sz w:val="28"/>
          <w:szCs w:val="28"/>
        </w:rPr>
        <w:t>ения включает следующие компоненты.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Сферы общения (темы, ситуации, тексты).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учебные ситуации являются конкретной реализацией заданного ФГОС содержания образования по английскому языку.</w:t>
      </w:r>
    </w:p>
    <w:p w:rsidR="00981DB3" w:rsidRDefault="00E3764A">
      <w:pPr>
        <w:tabs>
          <w:tab w:val="left" w:pos="9372"/>
          <w:tab w:val="left" w:pos="9940"/>
        </w:tabs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Навыки и умения коммуникативной компетенции.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</w:rPr>
      </w:pP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</w:rPr>
      </w:pPr>
    </w:p>
    <w:p w:rsidR="00981DB3" w:rsidRDefault="00E3764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</w:rPr>
        <w:t>Предметное содержание речи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</w:rPr>
      </w:pPr>
    </w:p>
    <w:p w:rsidR="00981DB3" w:rsidRDefault="00E3764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10 класс (девятый год обучения)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</w:p>
    <w:p w:rsidR="00981DB3" w:rsidRDefault="00E3764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Учащимся предлагаются следующие учебные ситуации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: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Повседневная жизнь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Домашние обязанности. Покупки. Общение в семье и в школе. Семейные традиции. Общение с друзьями и знакомыми. Переписка с друз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ьями. 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Здоровье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Посещение врача. Здоровый образ жизни.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Спорт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Активный отдых. Экстремальные виды спорта.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Городская и сельская жизнь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Научно-технический прогресс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Прогресс в науке. Космос. Новые информационные технологии.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Природа и экология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lastRenderedPageBreak/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Сов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ременная молодежь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Увлечения и интересы. Связь с предыдущими поколениями. Образовательные поездки.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Профессии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Современные профессии. Планы на будущее, проблемы выбора профессии. Образование и профессии.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Страны изучаемого языка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Иностранные языки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Изучение иностранных языков. Иностранные 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Таким образом, в содержание учебников 10-11 классов входят следующие разделы: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10 класс</w:t>
      </w:r>
    </w:p>
    <w:p w:rsidR="00981DB3" w:rsidRDefault="00981D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</w:p>
    <w:p w:rsidR="00981DB3" w:rsidRDefault="00981DB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kern w:val="0"/>
          <w:sz w:val="28"/>
          <w:szCs w:val="28"/>
        </w:rPr>
      </w:pPr>
    </w:p>
    <w:p w:rsidR="00981DB3" w:rsidRDefault="00E3764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га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рмонии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собой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. (In Harmony with Yourself.)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монии. Понимание счастья. Стиль жизни. Здоровье в жизни человека. Слагаемые успеха гармонического развития личности.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 2. В гармонии с другими. (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In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Harmony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with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Others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.)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Семья и родственники. Взаимопонимание в семье, взаимопонимание в обществе. Друзья в 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жизни подростка. </w:t>
      </w:r>
      <w:proofErr w:type="spellStart"/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Толерантностьв</w:t>
      </w:r>
      <w:proofErr w:type="spellEnd"/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ее обязанности и интересы. Алмазный юбилей королевы Елизаветы II.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 3. В гар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монии с природой. (</w:t>
      </w:r>
      <w:proofErr w:type="spellStart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In</w:t>
      </w:r>
      <w:proofErr w:type="spellEnd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Harmony</w:t>
      </w:r>
      <w:proofErr w:type="spellEnd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with</w:t>
      </w:r>
      <w:proofErr w:type="spellEnd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Nature</w:t>
      </w:r>
      <w:proofErr w:type="spellEnd"/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.)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ind w:firstLineChars="100" w:firstLine="280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lastRenderedPageBreak/>
        <w:t>Взаимовлияние природы и человека. Жизнь в городе и за гор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ind w:firstLineChars="100" w:firstLine="280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Национальные парки США. Исчезающие виды животных и растений. Проблемы зоопарков.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природозащитные</w:t>
      </w:r>
      <w:proofErr w:type="spellEnd"/>
      <w:r>
        <w:rPr>
          <w:rFonts w:ascii="Times New Roman" w:eastAsiaTheme="minorEastAsia" w:hAnsi="Times New Roman" w:cs="Times New Roman"/>
          <w:kern w:val="0"/>
          <w:sz w:val="28"/>
          <w:szCs w:val="28"/>
        </w:rPr>
        <w:t xml:space="preserve"> организации и движения.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4.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гармонии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мир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</w:rPr>
        <w:t>ом</w:t>
      </w:r>
      <w:r>
        <w:rPr>
          <w:rFonts w:ascii="Times New Roman" w:eastAsiaTheme="minorEastAsia" w:hAnsi="Times New Roman" w:cs="Times New Roman"/>
          <w:b/>
          <w:kern w:val="0"/>
          <w:sz w:val="28"/>
          <w:szCs w:val="28"/>
          <w:lang w:val="en-US"/>
        </w:rPr>
        <w:t>. (In Harmony with the World.)</w:t>
      </w:r>
    </w:p>
    <w:p w:rsidR="00981DB3" w:rsidRDefault="00E376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тов. 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</w:t>
      </w:r>
      <w:r>
        <w:rPr>
          <w:rFonts w:ascii="Times New Roman" w:eastAsiaTheme="minorEastAsia" w:hAnsi="Times New Roman" w:cs="Times New Roman"/>
          <w:kern w:val="0"/>
          <w:sz w:val="28"/>
          <w:szCs w:val="28"/>
        </w:rPr>
        <w:t>акомом городе. Покупки в магазинах. Различные виды магазинов. Марко Поло — великий путешественник. Путешествие — способ познания мира, получения информации об иных культурах, источник толерантности к различиям друг друга.</w:t>
      </w: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p w:rsidR="00981DB3" w:rsidRDefault="00E3764A">
      <w:pPr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 класс (десятый год обучения)</w:t>
      </w:r>
    </w:p>
    <w:p w:rsidR="00981DB3" w:rsidRDefault="00E3764A">
      <w:pPr>
        <w:ind w:firstLineChars="100" w:firstLine="28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 Шаги в карьере. 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Steps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to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Your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Career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981DB3" w:rsidRDefault="00E3764A">
      <w:pPr>
        <w:ind w:firstLineChars="50" w:firstLine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</w:t>
      </w:r>
      <w:r>
        <w:rPr>
          <w:rFonts w:ascii="Times New Roman" w:eastAsia="Calibri" w:hAnsi="Times New Roman" w:cs="Times New Roman"/>
          <w:sz w:val="28"/>
          <w:szCs w:val="28"/>
        </w:rPr>
        <w:t>профессии. Государственное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образование Великобритании. Университетское образование. Университеты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Великобритании и России. Степени бакалавра и магистра.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Предуниверситетский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год». Изучение английского языка. Варианты английского языка наших дней.</w:t>
      </w:r>
    </w:p>
    <w:p w:rsidR="00981DB3" w:rsidRPr="00494B75" w:rsidRDefault="00E3764A">
      <w:pPr>
        <w:ind w:firstLineChars="100" w:firstLine="28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2. 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Шаги</w:t>
      </w: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пониманию</w:t>
      </w: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культуры</w:t>
      </w: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. (Steps to Understanding </w:t>
      </w:r>
    </w:p>
    <w:p w:rsidR="00981DB3" w:rsidRPr="00494B75" w:rsidRDefault="00E3764A">
      <w:pPr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494B7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Culture.)</w:t>
      </w:r>
    </w:p>
    <w:p w:rsidR="00981DB3" w:rsidRDefault="00E3764A">
      <w:pPr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Различные определения понятия культуры. Разнообразие культур. Духовные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материальные ценности. Языки, традиции, обычаи, верования как отражение культуры. Общечеловеческие культурные ценности. Переоце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нка ценностей. Изменения в культурах разных народов. Элементы взаимопроникновения различных культур.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</w:t>
      </w:r>
      <w:r>
        <w:rPr>
          <w:rFonts w:ascii="Times New Roman" w:eastAsia="Calibri" w:hAnsi="Times New Roman" w:cs="Times New Roman"/>
          <w:sz w:val="28"/>
          <w:szCs w:val="28"/>
        </w:rPr>
        <w:t>тные архитекторы, композиторы, музыканты и поп-звезды. Театр и кино как значимые части культуры.</w:t>
      </w:r>
    </w:p>
    <w:p w:rsidR="00981DB3" w:rsidRDefault="00E3764A">
      <w:pPr>
        <w:ind w:firstLineChars="100" w:firstLine="28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  Шаги к эффективной коммуникации. 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Steps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to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Effective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81DB3" w:rsidRDefault="00E3764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Communication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981DB3" w:rsidRDefault="00E3764A">
      <w:pPr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Технический прогресс, его положительное и отрицательное влияние на жизнь человека. 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XXI века —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век  —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 глобальной компьютеризации. Влияние компьютерных технологий на жизнь человека. Стив Джобс —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решении научных и технологических проблем. Попытки при-остановить развитие научной мысли и прогресса в отдельном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регионе  —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американские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эмиши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Amish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Интернет — один из основных источников информации наших дней.</w:t>
      </w:r>
    </w:p>
    <w:p w:rsidR="00981DB3" w:rsidRDefault="00E3764A">
      <w:pPr>
        <w:ind w:firstLineChars="100" w:firstLine="28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 Шаги к будущему. 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Steps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to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Futu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re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.)</w:t>
      </w:r>
    </w:p>
    <w:p w:rsidR="00981DB3" w:rsidRDefault="00E3764A">
      <w:pPr>
        <w:ind w:firstLineChars="100" w:firstLine="2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будущего. Угрозы и основные проблемы в общес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Calibri" w:hAnsi="Times New Roman" w:cs="Times New Roman"/>
          <w:sz w:val="28"/>
          <w:szCs w:val="28"/>
        </w:rPr>
        <w:t>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:rsidR="00981DB3" w:rsidRDefault="00E3764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sz w:val="28"/>
        </w:rPr>
        <w:t xml:space="preserve"> для 10 класса</w:t>
      </w: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</w:rPr>
      </w:pPr>
    </w:p>
    <w:tbl>
      <w:tblPr>
        <w:tblW w:w="10576" w:type="dxa"/>
        <w:tblInd w:w="110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9"/>
        <w:gridCol w:w="5528"/>
        <w:gridCol w:w="2409"/>
      </w:tblGrid>
      <w:tr w:rsidR="00981DB3">
        <w:trPr>
          <w:trHeight w:val="1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курса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Количество часов</w:t>
            </w:r>
          </w:p>
        </w:tc>
      </w:tr>
      <w:tr w:rsidR="00981DB3">
        <w:trPr>
          <w:trHeight w:val="1332"/>
        </w:trPr>
        <w:tc>
          <w:tcPr>
            <w:tcW w:w="2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36"/>
              </w:rPr>
              <w:t>В гармонии с собой.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Личная информация. Увлечения и интересы. Медицинская помощь. Повторение времен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Peresent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Повторение будущего времени. Выражения «я бы лучше», «тебе бы лучше». Описание эмоций. Сложные слова. Фразовые глаголы. Аббревиатуры и сокращения. Сложные прила</w:t>
            </w:r>
            <w:r>
              <w:rPr>
                <w:rFonts w:ascii="Times New Roman" w:eastAsia="Times New Roman" w:hAnsi="Times New Roman" w:cs="Times New Roman"/>
                <w:sz w:val="28"/>
              </w:rPr>
              <w:t>гательные. Идиомы.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81DB3">
        <w:trPr>
          <w:trHeight w:val="1"/>
        </w:trPr>
        <w:tc>
          <w:tcPr>
            <w:tcW w:w="2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36"/>
              </w:rPr>
              <w:t>В гармонии с другими.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Друзья и их роль в жизни человека. Семья и мы.  Домашние заботы. Королевская семья. Употребление времен с наречиями. Повторение времен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 Слова-синонимы. Фразовые глаголы.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81DB3">
        <w:trPr>
          <w:trHeight w:val="1"/>
        </w:trPr>
        <w:tc>
          <w:tcPr>
            <w:tcW w:w="2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val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В гармонии с </w:t>
            </w:r>
            <w:r>
              <w:rPr>
                <w:rFonts w:ascii="Times New Roman" w:eastAsia="Times New Roman" w:hAnsi="Times New Roman" w:cs="Times New Roman"/>
                <w:sz w:val="36"/>
              </w:rPr>
              <w:t>природой.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Дикая природа. Экологические проблемы. Окружающая среда. Употребление артиклей.  Пассивная структура с инфинитивом. Наречия-синонимы. Фразовые глаголы. Сложные прилагательные. Идиомы. Фразы ободрения.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981DB3">
        <w:trPr>
          <w:trHeight w:val="1"/>
        </w:trPr>
        <w:tc>
          <w:tcPr>
            <w:tcW w:w="26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val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36"/>
              </w:rPr>
              <w:t>В гармонии с миром.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Почему люди путеше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ствуют.  Достопримечательности. Покупки. Повторение причастий. Модальные глаголы.  Слова-синонимы.  Фразовые глаголы. Идиомы и фразеологизмы.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</w:tbl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E3764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изучения программного материала по иностранному языку на уровень среднего общего образования (10</w:t>
      </w:r>
      <w:r>
        <w:rPr>
          <w:rFonts w:ascii="Times New Roman" w:eastAsia="Times New Roman" w:hAnsi="Times New Roman" w:cs="Times New Roman"/>
          <w:sz w:val="28"/>
        </w:rPr>
        <w:t>-11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981DB3" w:rsidRDefault="00981DB3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Язык: </w:t>
      </w:r>
      <w:r>
        <w:rPr>
          <w:rFonts w:ascii="Times New Roman" w:eastAsia="Times New Roman" w:hAnsi="Times New Roman" w:cs="Times New Roman"/>
          <w:sz w:val="28"/>
          <w:u w:val="single"/>
        </w:rPr>
        <w:t>английский</w:t>
      </w: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УМК: 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>Rainbow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>English</w:t>
      </w: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</w:t>
      </w:r>
      <w:r>
        <w:rPr>
          <w:rFonts w:ascii="Times New Roman" w:eastAsia="Times New Roman" w:hAnsi="Times New Roman" w:cs="Times New Roman"/>
          <w:sz w:val="28"/>
          <w:u w:val="single"/>
        </w:rPr>
        <w:t>: среднее общее образование</w:t>
      </w:r>
    </w:p>
    <w:p w:rsidR="00981DB3" w:rsidRDefault="00E3764A">
      <w:pPr>
        <w:jc w:val="lef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8"/>
          <w:u w:val="single"/>
        </w:rPr>
        <w:t>3</w:t>
      </w:r>
    </w:p>
    <w:p w:rsidR="00981DB3" w:rsidRDefault="00981DB3">
      <w:pPr>
        <w:jc w:val="left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10706" w:type="dxa"/>
        <w:tblLayout w:type="fixed"/>
        <w:tblLook w:val="04A0" w:firstRow="1" w:lastRow="0" w:firstColumn="1" w:lastColumn="0" w:noHBand="0" w:noVBand="1"/>
      </w:tblPr>
      <w:tblGrid>
        <w:gridCol w:w="3568"/>
        <w:gridCol w:w="2291"/>
        <w:gridCol w:w="2760"/>
        <w:gridCol w:w="2087"/>
      </w:tblGrid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 класс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 класс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Мои друзья и я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Досуг и увлечения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Здоровый образ жизни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Школьное образование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Профессии в современном мире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Вселенная и человек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Технический прогресс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массовой информации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Родная страна и страны изучаемого языка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81DB3">
        <w:tc>
          <w:tcPr>
            <w:tcW w:w="3568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            ИТОГО</w:t>
            </w:r>
          </w:p>
        </w:tc>
        <w:tc>
          <w:tcPr>
            <w:tcW w:w="2291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102</w:t>
            </w:r>
          </w:p>
        </w:tc>
        <w:tc>
          <w:tcPr>
            <w:tcW w:w="276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102</w:t>
            </w:r>
          </w:p>
        </w:tc>
        <w:tc>
          <w:tcPr>
            <w:tcW w:w="208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204</w:t>
            </w:r>
          </w:p>
        </w:tc>
      </w:tr>
    </w:tbl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E376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Тематический план для 10 класса</w:t>
      </w:r>
    </w:p>
    <w:tbl>
      <w:tblPr>
        <w:tblStyle w:val="a8"/>
        <w:tblW w:w="10751" w:type="dxa"/>
        <w:tblLayout w:type="fixed"/>
        <w:tblLook w:val="04A0" w:firstRow="1" w:lastRow="0" w:firstColumn="1" w:lastColumn="0" w:noHBand="0" w:noVBand="1"/>
      </w:tblPr>
      <w:tblGrid>
        <w:gridCol w:w="820"/>
        <w:gridCol w:w="6347"/>
        <w:gridCol w:w="3584"/>
      </w:tblGrid>
      <w:tr w:rsidR="00981DB3">
        <w:trPr>
          <w:trHeight w:val="1063"/>
        </w:trPr>
        <w:tc>
          <w:tcPr>
            <w:tcW w:w="82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1DB3">
        <w:trPr>
          <w:trHeight w:val="667"/>
        </w:trPr>
        <w:tc>
          <w:tcPr>
            <w:tcW w:w="82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 гармонии с собой.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81DB3">
        <w:trPr>
          <w:trHeight w:val="667"/>
        </w:trPr>
        <w:tc>
          <w:tcPr>
            <w:tcW w:w="82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 гармонии с другими.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81DB3">
        <w:trPr>
          <w:trHeight w:val="692"/>
        </w:trPr>
        <w:tc>
          <w:tcPr>
            <w:tcW w:w="82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 гармонии с природой.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81DB3">
        <w:trPr>
          <w:trHeight w:val="667"/>
        </w:trPr>
        <w:tc>
          <w:tcPr>
            <w:tcW w:w="820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 гармонии с миром.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81DB3">
        <w:trPr>
          <w:trHeight w:val="618"/>
        </w:trPr>
        <w:tc>
          <w:tcPr>
            <w:tcW w:w="820" w:type="dxa"/>
          </w:tcPr>
          <w:p w:rsidR="00981DB3" w:rsidRDefault="0098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47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584" w:type="dxa"/>
          </w:tcPr>
          <w:p w:rsidR="00981DB3" w:rsidRDefault="00E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102</w:t>
            </w:r>
          </w:p>
        </w:tc>
      </w:tr>
    </w:tbl>
    <w:p w:rsidR="00981DB3" w:rsidRDefault="00981D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left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left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rPr>
          <w:rFonts w:ascii="Calibri" w:eastAsia="Calibri" w:hAnsi="Calibri"/>
          <w:sz w:val="22"/>
          <w:lang w:val="en-US"/>
        </w:rPr>
      </w:pPr>
    </w:p>
    <w:p w:rsidR="00981DB3" w:rsidRDefault="00E3764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Тематический план</w:t>
      </w:r>
    </w:p>
    <w:p w:rsidR="00981DB3" w:rsidRDefault="00E3764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для 11 класса</w:t>
      </w:r>
    </w:p>
    <w:p w:rsidR="00981DB3" w:rsidRDefault="00981DB3">
      <w:pPr>
        <w:jc w:val="left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left"/>
        <w:rPr>
          <w:rFonts w:ascii="Calibri" w:eastAsia="Calibri" w:hAnsi="Calibri"/>
          <w:sz w:val="22"/>
          <w:lang w:val="en-US"/>
        </w:rPr>
      </w:pPr>
    </w:p>
    <w:tbl>
      <w:tblPr>
        <w:tblW w:w="963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00"/>
        <w:gridCol w:w="6457"/>
        <w:gridCol w:w="2081"/>
      </w:tblGrid>
      <w:tr w:rsidR="00981DB3">
        <w:trPr>
          <w:trHeight w:val="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Segoe UI Symbol" w:eastAsia="Segoe UI Symbol" w:hAnsi="Segoe UI Symbol"/>
                <w:b/>
                <w:sz w:val="36"/>
                <w:lang w:val="en-US"/>
              </w:rPr>
              <w:t>№</w:t>
            </w: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6"/>
              </w:rPr>
              <w:t>п/п</w:t>
            </w:r>
          </w:p>
        </w:tc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Наименование частей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>Всего часов</w:t>
            </w:r>
          </w:p>
        </w:tc>
      </w:tr>
      <w:tr w:rsidR="00981DB3">
        <w:trPr>
          <w:trHeight w:val="1"/>
        </w:trPr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1.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36"/>
              </w:rPr>
              <w:t xml:space="preserve">Шаги к моей </w:t>
            </w:r>
            <w:r>
              <w:rPr>
                <w:rFonts w:ascii="Times New Roman" w:eastAsia="Times New Roman" w:hAnsi="Times New Roman"/>
                <w:sz w:val="36"/>
              </w:rPr>
              <w:t>будущей профессии.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27</w:t>
            </w:r>
          </w:p>
        </w:tc>
      </w:tr>
      <w:tr w:rsidR="00981DB3">
        <w:trPr>
          <w:trHeight w:val="1"/>
        </w:trPr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2.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36"/>
              </w:rPr>
              <w:t>Шаги к пониманию Культуры.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21</w:t>
            </w:r>
          </w:p>
        </w:tc>
      </w:tr>
      <w:tr w:rsidR="00981DB3">
        <w:trPr>
          <w:trHeight w:val="1"/>
        </w:trPr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3.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36"/>
              </w:rPr>
              <w:t>Технологическая революция. Средства массовой информации.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32</w:t>
            </w:r>
          </w:p>
        </w:tc>
      </w:tr>
      <w:tr w:rsidR="00981DB3">
        <w:trPr>
          <w:trHeight w:val="1"/>
        </w:trPr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4.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36"/>
              </w:rPr>
              <w:t>Шаги к Будущему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22</w:t>
            </w:r>
          </w:p>
        </w:tc>
      </w:tr>
      <w:tr w:rsidR="00981DB3">
        <w:trPr>
          <w:trHeight w:val="1"/>
        </w:trPr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981DB3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6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righ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</w:rPr>
              <w:t xml:space="preserve">ИТОГО:   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36"/>
                <w:lang w:val="en-US"/>
              </w:rPr>
              <w:t>102</w:t>
            </w:r>
          </w:p>
        </w:tc>
      </w:tr>
    </w:tbl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Times New Roman" w:hAnsi="Times New Roman"/>
          <w:b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/>
          <w:b/>
          <w:sz w:val="28"/>
        </w:rPr>
      </w:pPr>
    </w:p>
    <w:p w:rsidR="00981DB3" w:rsidRDefault="00E3764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Содержание учебного курса для 11 класса</w:t>
      </w:r>
    </w:p>
    <w:p w:rsidR="00981DB3" w:rsidRDefault="00981DB3">
      <w:pPr>
        <w:jc w:val="left"/>
        <w:rPr>
          <w:rFonts w:ascii="Calibri" w:eastAsia="Calibri" w:hAnsi="Calibri"/>
          <w:sz w:val="22"/>
          <w:lang w:val="en-US"/>
        </w:rPr>
      </w:pPr>
    </w:p>
    <w:tbl>
      <w:tblPr>
        <w:tblW w:w="10504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506"/>
        <w:gridCol w:w="3506"/>
        <w:gridCol w:w="3492"/>
      </w:tblGrid>
      <w:tr w:rsidR="00981DB3">
        <w:trPr>
          <w:trHeight w:val="1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Название раздела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 курса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Количество часов</w:t>
            </w:r>
          </w:p>
        </w:tc>
      </w:tr>
      <w:tr w:rsidR="00981DB3">
        <w:trPr>
          <w:trHeight w:val="2947"/>
        </w:trPr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rPr>
                <w:rFonts w:ascii="Calibri" w:eastAsia="Calibri" w:hAnsi="Calibri"/>
                <w:sz w:val="22"/>
              </w:rPr>
            </w:pPr>
            <w:r w:rsidRPr="00494B75">
              <w:rPr>
                <w:rFonts w:ascii="Times New Roman" w:eastAsia="Times New Roman" w:hAnsi="Times New Roman"/>
                <w:sz w:val="36"/>
              </w:rPr>
              <w:t xml:space="preserve">1. </w:t>
            </w:r>
            <w:r>
              <w:rPr>
                <w:rFonts w:ascii="Times New Roman" w:eastAsia="Times New Roman" w:hAnsi="Times New Roman"/>
                <w:sz w:val="36"/>
              </w:rPr>
              <w:t>Шаги к моей будущей профессии.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Работа и занятия. Выбор карьеры. Изучение иностранных языков. Пассивная структура </w:t>
            </w:r>
            <w:r w:rsidRPr="00494B75">
              <w:rPr>
                <w:rFonts w:ascii="Times New Roman" w:eastAsia="Times New Roman" w:hAnsi="Times New Roman"/>
                <w:sz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to</w:t>
            </w:r>
            <w:r w:rsidRPr="00494B75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have</w:t>
            </w:r>
            <w:r w:rsidRPr="00494B75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something</w:t>
            </w:r>
            <w:r w:rsidRPr="00494B75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done</w:t>
            </w:r>
            <w:r w:rsidRPr="00494B75">
              <w:rPr>
                <w:rFonts w:ascii="Times New Roman" w:eastAsia="Times New Roman" w:hAnsi="Times New Roman"/>
                <w:sz w:val="28"/>
              </w:rPr>
              <w:t xml:space="preserve">”. </w:t>
            </w:r>
            <w:r>
              <w:rPr>
                <w:rFonts w:ascii="Times New Roman" w:eastAsia="Times New Roman" w:hAnsi="Times New Roman"/>
                <w:sz w:val="28"/>
              </w:rPr>
              <w:t xml:space="preserve">Союз </w:t>
            </w:r>
            <w:r>
              <w:rPr>
                <w:rFonts w:ascii="Times New Roman" w:eastAsia="Times New Roman" w:hAnsi="Times New Roman"/>
                <w:i/>
                <w:sz w:val="28"/>
              </w:rPr>
              <w:t>если.</w:t>
            </w:r>
            <w:r>
              <w:rPr>
                <w:rFonts w:ascii="Times New Roman" w:eastAsia="Times New Roman" w:hAnsi="Times New Roman"/>
                <w:sz w:val="28"/>
              </w:rPr>
              <w:t xml:space="preserve"> Отрицательные местоимения. Фразовые глаголы.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27</w:t>
            </w:r>
          </w:p>
        </w:tc>
      </w:tr>
      <w:tr w:rsidR="00981DB3">
        <w:trPr>
          <w:trHeight w:val="1"/>
        </w:trPr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36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/>
                <w:sz w:val="36"/>
              </w:rPr>
              <w:t>Шаги к пониманию Культуры.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Литература и музыка. Музеи и галереи. Театры и кино.  Обычаи и традиции. Поведение. Множественное число существительных. Страдательный залог. Исчисляемые и неисчислимые существительные. Артикли. Идиомы. Фразовые глаголы.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21</w:t>
            </w:r>
          </w:p>
        </w:tc>
      </w:tr>
      <w:tr w:rsidR="00981DB3">
        <w:trPr>
          <w:trHeight w:val="1"/>
        </w:trPr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rPr>
                <w:rFonts w:ascii="Calibri" w:eastAsia="Calibri" w:hAnsi="Calibri"/>
                <w:sz w:val="22"/>
              </w:rPr>
            </w:pPr>
            <w:r w:rsidRPr="00494B75">
              <w:rPr>
                <w:rFonts w:ascii="Times New Roman" w:eastAsia="Times New Roman" w:hAnsi="Times New Roman"/>
                <w:sz w:val="36"/>
              </w:rPr>
              <w:t>3.</w:t>
            </w:r>
            <w:r>
              <w:rPr>
                <w:rFonts w:ascii="Times New Roman" w:eastAsia="Times New Roman" w:hAnsi="Times New Roman"/>
                <w:sz w:val="36"/>
              </w:rPr>
              <w:t xml:space="preserve">Технологическая революция. </w:t>
            </w:r>
            <w:r>
              <w:rPr>
                <w:rFonts w:ascii="Times New Roman" w:eastAsia="Times New Roman" w:hAnsi="Times New Roman"/>
                <w:sz w:val="36"/>
              </w:rPr>
              <w:t>Средства массовой информации.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Технологический прогресс.  Изобретения и открытия. Наука. Наречия и их функции. Образование наречий. Слова-синонимы.  Фразовые глаголы.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32</w:t>
            </w:r>
          </w:p>
        </w:tc>
      </w:tr>
      <w:tr w:rsidR="00981DB3">
        <w:trPr>
          <w:trHeight w:val="1"/>
        </w:trPr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rPr>
                <w:rFonts w:ascii="Calibri" w:eastAsia="Calibri" w:hAnsi="Calibri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36"/>
                <w:lang w:val="en-US"/>
              </w:rPr>
              <w:t xml:space="preserve">4. </w:t>
            </w:r>
            <w:r>
              <w:rPr>
                <w:rFonts w:ascii="Times New Roman" w:eastAsia="Times New Roman" w:hAnsi="Times New Roman"/>
                <w:sz w:val="36"/>
              </w:rPr>
              <w:t>Шаги к Будущему.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Pr="00494B75" w:rsidRDefault="00E3764A">
            <w:pPr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Глобализация. Люди и планета.  Национальности.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Люди против машин. </w:t>
            </w:r>
            <w:r>
              <w:rPr>
                <w:rFonts w:ascii="Times New Roman" w:eastAsia="Times New Roman" w:hAnsi="Times New Roman"/>
                <w:sz w:val="28"/>
              </w:rPr>
              <w:t xml:space="preserve"> Инфинитив. Глагол предлагать. Сложное дополнение. Сослагательное наклонение.  Смешанные типы предложений. Три типа условных предложений.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lastRenderedPageBreak/>
              <w:t>22</w:t>
            </w:r>
          </w:p>
        </w:tc>
      </w:tr>
    </w:tbl>
    <w:p w:rsidR="00981DB3" w:rsidRDefault="00981DB3">
      <w:pPr>
        <w:jc w:val="center"/>
        <w:rPr>
          <w:rFonts w:ascii="Calibri" w:eastAsia="Calibri" w:hAnsi="Calibri"/>
          <w:sz w:val="22"/>
          <w:lang w:val="en-US"/>
        </w:rPr>
      </w:pPr>
    </w:p>
    <w:p w:rsidR="00981DB3" w:rsidRDefault="00981DB3">
      <w:pPr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81DB3" w:rsidRDefault="00E3764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Тематическое планирование для 10 класса</w:t>
      </w:r>
    </w:p>
    <w:p w:rsidR="00981DB3" w:rsidRDefault="00981DB3">
      <w:pPr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2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45"/>
      </w:tblGrid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Segoe UI Symbol" w:hAnsi="Times New Roman" w:cs="Times New Roman"/>
                <w:sz w:val="24"/>
                <w:lang w:val="en-US"/>
              </w:rPr>
              <w:t>№</w:t>
            </w:r>
          </w:p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81DB3" w:rsidRDefault="00E3764A">
            <w:pPr>
              <w:ind w:firstLine="708"/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(10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гармонии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собой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структуры, выражающее предпочтение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I’drather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we’drather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 Введение, активизация. Грамматические структуры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времён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(Present Simple, Present Progressive)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Выражение своего мнения в дискуссии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…?)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и обсуждение текста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careful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(Сокращения, неформальна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лексика, фразовые глаголы)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Уточнения по поводу использования времён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Progressive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времён</w:t>
            </w:r>
            <w:r w:rsidRPr="00494B7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(Past Simple, Past Progressive)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лексика по теме.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Уточнения по поводу использования времён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Progressive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Любимые занятия. Практика в чтении и обсуждении прочитанного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(прилагательное + причастие)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Сложные прилагательные,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содержащие в своём составе числительные.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 (Future- in- the- Past)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в чтении и обсуждении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прочитанного”BeHappy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Дифференциациявремён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(Present Perfect, Present Perfect Progressive)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Английские устойчивые словосочетания, позволяющие описывать самочувствие. Дискуссия по теме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сохранить здоровье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 и выражения,  выражающие поддержку и сочувствие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Дифференциациявремён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(Past Perfect, Past Perfect Progressive)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обобщения и повторения пройденного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(лексика-грамматика, письмо)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гармонии с другими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лексика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гармонии с другими».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Дифференциациявремён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(Present Perfect, Past Simple)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с помощью изменения места ударения в слове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Уточнения по поводу использования времён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 и дискуссия по теме «Друзья и их роль в нашей жизни»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повторение структур страдательного залога во временах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«Я и моя семья»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корректность. Фразы для употребления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Разница в употреблении слов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tomake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Страдательныйзалогвремён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(Present Progressive, Past Progressive)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Дискуссия по теме «Взаимоотношения с окружающими людьми» Практика в речи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Страдательный залог времён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(повторение)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«Семейный бюджет»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Идиоматические выражения, описывающие финансовое положение  человека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Фразовые глаголы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ядерным компонентом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текстов и обсуждение прочитанного «Британская королевская семья»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Разницавупотреблениислов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(accident – incident; as – like)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«Повседневные домашние дела»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повторения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обобщения по теме «В гармонии с другими»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(лексика-грамматика, письмо)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гармонии с природой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лексики для описания живописных чудес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природы. Практика в устной речи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Пассивные конструкции с инфинитивом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Английские артикли (повторение)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 « В гармонии с природой»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Артиклиссуществительными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School, Space, Prison, Church, Bed,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Work, College, Hospital, University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Перфектный и продолженный инфинитив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«Преимущества и недостатки жизни в городе и на селе»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Разницавупотреблениислов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:Comfortable, Convenient, to visit, to attend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Словообразование. Прилагательные от существительных, обозначающих стороны света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Артикли перед географическими названиями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факты  употребления артиклей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Идиоматические выражения,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образованные по формуле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as+Adj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as+V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Неопределённый артикль. Новые факты употребления артикля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 «Экологические проблемы планеты».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в чтении и обсуждении текста об источниках загрязнения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окружающей среды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Определённый артикль. Новые факты употребления артикля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по теме «Экология»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6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Фразовыеглаголысядернымэлементом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CUT: to cut up, to cut down, to cut off, to cut out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Артиклиссуществительными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Breakfast,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Brunch, Lunch, Dinner, Supper, Tea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 по теме. Введение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Фразы для ободрения и успокоения собеседника. Введение, активизация, практика в употреблении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 лексика.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в чтении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обсуждении текста «Природа и человек»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Разница в употреблении слов: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Landscape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Scenery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View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«В гармонии с природой!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75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Эссе на тему «Роль человека в сохранении экологического баланса на планете»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ЭГЭ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(лексика, грамматика)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проектов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гармонии с природой». Электронная презентация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IV.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гармонии с миром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лексики по теме «Путешествие».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и обсуждении текста по теме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Повторениеграмматики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 Participle I, Participle II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лексика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гармонии с миром».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Разницавупотреблениислов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:Sick, Ill, Journey, Trip, Voyage, Travel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Правилапостроенияфраз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So  am I; Neither am 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и обсуждении текста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Stowaways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устной речи «Путешествие поездом»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Английские прилагательные, не употребляющиеся в роли определения: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Afraid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Awake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Ashamed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Asleep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лексики по теме «Путешествие по воздуху» Практика в устной речи по теме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Модальные глаголы: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и обсуждении текста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StayinginHotels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Модальные глаголы: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выражения вероятности события, явления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лексики по теме: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Shopping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 Практика в устной речи по теме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Модальные глаголы: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сочетании с продолженным и перфектным инфинитивом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Новая лексика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теме «В гармонии с миром» Введение, активизация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Модальные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Mightдля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выражения просьбы или предложения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и обсуждении текста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MaricoPolo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TravelerandExplorer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Новыемодальныеглаголы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Ought (to), Be (to),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Needn’t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Практикавустнойречи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“Some customs, typical of different countries”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Разница в употреблении отдельных модальных глаголов: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Mustn’t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Shouldn’t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Needn’t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повторения по теме «В гармонии с миром»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эссе по теме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(лексика , грамматика)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81DB3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left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Тестирование. Подготовка к ЕГЭ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 w:rsidR="00981DB3" w:rsidRDefault="00E3764A">
            <w:pPr>
              <w:jc w:val="center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eastAsia="Calibri" w:hAnsi="Times New Roman" w:cs="Times New Roman"/>
          <w:sz w:val="22"/>
          <w:lang w:val="en-US"/>
        </w:rPr>
      </w:pPr>
    </w:p>
    <w:p w:rsidR="00981DB3" w:rsidRDefault="00981DB3">
      <w:pPr>
        <w:jc w:val="center"/>
        <w:rPr>
          <w:rFonts w:ascii="Times New Roman" w:hAnsi="Times New Roman" w:cs="Times New Roman"/>
        </w:rPr>
      </w:pPr>
    </w:p>
    <w:sectPr w:rsidR="00981DB3">
      <w:pgSz w:w="12240" w:h="15840"/>
      <w:pgMar w:top="1276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BA1"/>
    <w:multiLevelType w:val="multilevel"/>
    <w:tmpl w:val="1D9D4BA1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B77"/>
    <w:rsid w:val="000872EC"/>
    <w:rsid w:val="00137210"/>
    <w:rsid w:val="00172A27"/>
    <w:rsid w:val="001D1618"/>
    <w:rsid w:val="001D5585"/>
    <w:rsid w:val="002712A2"/>
    <w:rsid w:val="00370132"/>
    <w:rsid w:val="00494B75"/>
    <w:rsid w:val="00567DAF"/>
    <w:rsid w:val="006100ED"/>
    <w:rsid w:val="00612FE8"/>
    <w:rsid w:val="006225EC"/>
    <w:rsid w:val="00626769"/>
    <w:rsid w:val="006F3CB2"/>
    <w:rsid w:val="007257E2"/>
    <w:rsid w:val="007367BD"/>
    <w:rsid w:val="0078332E"/>
    <w:rsid w:val="00822B76"/>
    <w:rsid w:val="0088622B"/>
    <w:rsid w:val="00887451"/>
    <w:rsid w:val="008B2C6E"/>
    <w:rsid w:val="008C7908"/>
    <w:rsid w:val="00981DB3"/>
    <w:rsid w:val="00995F05"/>
    <w:rsid w:val="009C72C3"/>
    <w:rsid w:val="00A44AFC"/>
    <w:rsid w:val="00A5140D"/>
    <w:rsid w:val="00BC76CA"/>
    <w:rsid w:val="00BD78DC"/>
    <w:rsid w:val="00C13489"/>
    <w:rsid w:val="00C61DF3"/>
    <w:rsid w:val="00C9362D"/>
    <w:rsid w:val="00D052ED"/>
    <w:rsid w:val="00D90822"/>
    <w:rsid w:val="00DE1415"/>
    <w:rsid w:val="00DF7287"/>
    <w:rsid w:val="00E12045"/>
    <w:rsid w:val="00E3764A"/>
    <w:rsid w:val="00E65ACB"/>
    <w:rsid w:val="00EA444C"/>
    <w:rsid w:val="00EC5926"/>
    <w:rsid w:val="00F350C6"/>
    <w:rsid w:val="00F56397"/>
    <w:rsid w:val="00F61AEA"/>
    <w:rsid w:val="00F664FE"/>
    <w:rsid w:val="00FC4543"/>
    <w:rsid w:val="00FF5299"/>
    <w:rsid w:val="02FE587B"/>
    <w:rsid w:val="032316DF"/>
    <w:rsid w:val="03243F62"/>
    <w:rsid w:val="039C2599"/>
    <w:rsid w:val="03E45F08"/>
    <w:rsid w:val="053F3A6F"/>
    <w:rsid w:val="05623947"/>
    <w:rsid w:val="08033098"/>
    <w:rsid w:val="0DC840EF"/>
    <w:rsid w:val="0F9F4ABA"/>
    <w:rsid w:val="127973E1"/>
    <w:rsid w:val="12A0057A"/>
    <w:rsid w:val="13E466B4"/>
    <w:rsid w:val="187D1171"/>
    <w:rsid w:val="19811671"/>
    <w:rsid w:val="1F7A4CEC"/>
    <w:rsid w:val="204F57B9"/>
    <w:rsid w:val="20AC6E14"/>
    <w:rsid w:val="217572B9"/>
    <w:rsid w:val="246D2293"/>
    <w:rsid w:val="28C06666"/>
    <w:rsid w:val="29FA722B"/>
    <w:rsid w:val="2B1003DD"/>
    <w:rsid w:val="2C840D1B"/>
    <w:rsid w:val="2CD17685"/>
    <w:rsid w:val="2DA1043D"/>
    <w:rsid w:val="2F5F0E2F"/>
    <w:rsid w:val="318C78C7"/>
    <w:rsid w:val="369A55D7"/>
    <w:rsid w:val="37A1525D"/>
    <w:rsid w:val="38A720BC"/>
    <w:rsid w:val="38D81628"/>
    <w:rsid w:val="455160FD"/>
    <w:rsid w:val="45C11364"/>
    <w:rsid w:val="478B74AC"/>
    <w:rsid w:val="489A778A"/>
    <w:rsid w:val="49085ECC"/>
    <w:rsid w:val="4C010C18"/>
    <w:rsid w:val="4DB06412"/>
    <w:rsid w:val="53306885"/>
    <w:rsid w:val="536C40B9"/>
    <w:rsid w:val="54930DAD"/>
    <w:rsid w:val="549B4847"/>
    <w:rsid w:val="55A30B7F"/>
    <w:rsid w:val="576B686F"/>
    <w:rsid w:val="58CA7B0F"/>
    <w:rsid w:val="5A88067E"/>
    <w:rsid w:val="5AA1784D"/>
    <w:rsid w:val="5C2142D1"/>
    <w:rsid w:val="5C564709"/>
    <w:rsid w:val="5D6E54AB"/>
    <w:rsid w:val="5EE35AC7"/>
    <w:rsid w:val="5F4F3F87"/>
    <w:rsid w:val="5FD9591F"/>
    <w:rsid w:val="61193567"/>
    <w:rsid w:val="655F4982"/>
    <w:rsid w:val="694B59A9"/>
    <w:rsid w:val="6C9B598B"/>
    <w:rsid w:val="6EAB4CF3"/>
    <w:rsid w:val="70C32AF2"/>
    <w:rsid w:val="70E20A56"/>
    <w:rsid w:val="71275B7D"/>
    <w:rsid w:val="74B243C9"/>
    <w:rsid w:val="78016FF7"/>
    <w:rsid w:val="79F02BB0"/>
    <w:rsid w:val="7F177C21"/>
    <w:rsid w:val="7F9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66EA1"/>
  <w15:docId w15:val="{4E418B2B-E4AC-41B5-9EBE-A729DBB6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  <w:jc w:val="both"/>
    </w:pPr>
    <w:rPr>
      <w:rFonts w:eastAsia="SimSun"/>
      <w:kern w:val="2"/>
      <w:sz w:val="21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Strong"/>
    <w:basedOn w:val="a1"/>
    <w:qFormat/>
    <w:rPr>
      <w:b/>
      <w:bCs/>
    </w:rPr>
  </w:style>
  <w:style w:type="table" w:styleId="a8">
    <w:name w:val="Table Grid"/>
    <w:basedOn w:val="a2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qFormat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1"/>
    <w:link w:val="2"/>
    <w:qFormat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customStyle="1" w:styleId="a5">
    <w:name w:val="Текст выноски Знак"/>
    <w:basedOn w:val="a1"/>
    <w:link w:val="a4"/>
    <w:qFormat/>
    <w:rPr>
      <w:rFonts w:ascii="Tahoma" w:eastAsia="SimSun" w:hAnsi="Tahoma" w:cs="Tahoma"/>
      <w:kern w:val="2"/>
      <w:sz w:val="16"/>
      <w:szCs w:val="16"/>
    </w:rPr>
  </w:style>
  <w:style w:type="paragraph" w:styleId="a9">
    <w:name w:val="List Paragraph"/>
    <w:basedOn w:val="a0"/>
    <w:uiPriority w:val="99"/>
    <w:unhideWhenUsed/>
    <w:qFormat/>
    <w:pPr>
      <w:ind w:left="720"/>
      <w:contextualSpacing/>
    </w:pPr>
  </w:style>
  <w:style w:type="paragraph" w:customStyle="1" w:styleId="a">
    <w:name w:val="Перечень"/>
    <w:basedOn w:val="a0"/>
    <w:next w:val="a0"/>
    <w:qFormat/>
    <w:pPr>
      <w:numPr>
        <w:numId w:val="1"/>
      </w:numPr>
      <w:ind w:left="0" w:firstLine="284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7745</Words>
  <Characters>44152</Characters>
  <Application>Microsoft Office Word</Application>
  <DocSecurity>0</DocSecurity>
  <Lines>367</Lines>
  <Paragraphs>103</Paragraphs>
  <ScaleCrop>false</ScaleCrop>
  <Company/>
  <LinksUpToDate>false</LinksUpToDate>
  <CharactersWithSpaces>51794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Школа 129</cp:lastModifiedBy>
  <cp:revision>34</cp:revision>
  <cp:lastPrinted>2019-08-27T09:10:00Z</cp:lastPrinted>
  <dcterms:created xsi:type="dcterms:W3CDTF">2019-08-26T12:09:00Z</dcterms:created>
  <dcterms:modified xsi:type="dcterms:W3CDTF">2019-09-21T05:02:00Z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KSOProductBuildVer" pid="2">
    <vt:lpwstr>1049-11.2.0.8343</vt:lpwstr>
  </property>
  <property fmtid="{D5CDD505-2E9C-101B-9397-08002B2CF9AE}" name="NXPowerLiteLastOptimized" pid="3">
    <vt:lpwstr>97412</vt:lpwstr>
  </property>
  <property fmtid="{D5CDD505-2E9C-101B-9397-08002B2CF9AE}" name="NXPowerLiteSettings" pid="4">
    <vt:lpwstr>C700052003A000</vt:lpwstr>
  </property>
  <property fmtid="{D5CDD505-2E9C-101B-9397-08002B2CF9AE}" name="NXPowerLiteVersion" pid="5">
    <vt:lpwstr>D8.0.4</vt:lpwstr>
  </property>
</Properties>
</file>